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8"/>
        <w:gridCol w:w="4320"/>
        <w:gridCol w:w="600"/>
        <w:gridCol w:w="140"/>
        <w:gridCol w:w="1200"/>
        <w:gridCol w:w="340"/>
        <w:gridCol w:w="1080"/>
        <w:gridCol w:w="720"/>
        <w:gridCol w:w="1320"/>
      </w:tblGrid>
      <w:tr w:rsidR="00750B63" w:rsidRPr="008B52B3" w:rsidTr="0083625F">
        <w:trPr>
          <w:trHeight w:val="510"/>
        </w:trPr>
        <w:tc>
          <w:tcPr>
            <w:tcW w:w="108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高雄市新興區七賢國小</w:t>
            </w:r>
            <w:r w:rsidRPr="00001571"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104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下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學期</w:t>
            </w:r>
          </w:p>
        </w:tc>
      </w:tr>
      <w:tr w:rsidR="00750B63" w:rsidRPr="008B52B3" w:rsidTr="0083625F">
        <w:trPr>
          <w:trHeight w:val="510"/>
        </w:trPr>
        <w:tc>
          <w:tcPr>
            <w:tcW w:w="108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0B63" w:rsidRPr="00001571" w:rsidRDefault="00750B63" w:rsidP="005153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二年級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語文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領域課程計畫</w:t>
            </w:r>
          </w:p>
        </w:tc>
      </w:tr>
      <w:tr w:rsidR="00750B63" w:rsidRPr="008B52B3" w:rsidTr="0083625F">
        <w:trPr>
          <w:trHeight w:val="45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教材來源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語文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翰林</w:t>
            </w:r>
            <w:proofErr w:type="gramStart"/>
            <w:r w:rsidRPr="00001571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</w:rPr>
              <w:t>(5+1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彈性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00157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教學節數：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每週</w:t>
            </w:r>
            <w:r>
              <w:rPr>
                <w:rFonts w:ascii="標楷體" w:eastAsia="標楷體" w:hAnsi="標楷體" w:cs="標楷體"/>
                <w:kern w:val="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+1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節</w:t>
            </w:r>
            <w:r w:rsidRPr="00001571">
              <w:rPr>
                <w:rFonts w:ascii="標楷體" w:eastAsia="標楷體" w:hAnsi="標楷體" w:cs="標楷體"/>
                <w:kern w:val="0"/>
              </w:rPr>
              <w:t>/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共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96+20(</w:t>
            </w:r>
            <w:r>
              <w:rPr>
                <w:rFonts w:ascii="標楷體" w:eastAsia="標楷體" w:hAnsi="標楷體" w:cs="標楷體" w:hint="eastAsia"/>
                <w:kern w:val="0"/>
              </w:rPr>
              <w:t>彈性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</w:rPr>
              <w:t>節</w:t>
            </w:r>
          </w:p>
        </w:tc>
      </w:tr>
      <w:tr w:rsidR="00750B63" w:rsidRPr="008B52B3" w:rsidTr="0083625F">
        <w:trPr>
          <w:trHeight w:val="33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設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二年級教學團隊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00157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教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二年級教學團隊</w:t>
            </w:r>
            <w:r w:rsidRPr="0000157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750B63" w:rsidRPr="008B52B3" w:rsidTr="0083625F">
        <w:trPr>
          <w:trHeight w:val="111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B63" w:rsidRPr="00001571" w:rsidRDefault="00750B6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學期學習目標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（一）引導兒童從觀察自己的身體、植物和動物變化，發覺成長的改變。</w:t>
            </w:r>
          </w:p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（二）讓兒童了解成長帶來的喜悅。</w:t>
            </w:r>
          </w:p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（三）教導兒童觀察大自然景物，發覺自然的奧妙。</w:t>
            </w:r>
          </w:p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（四）指導兒童接近大自然，認識更多大自然中有趣的景象。</w:t>
            </w:r>
          </w:p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（五）引導兒童體會與自然接觸的快樂。</w:t>
            </w:r>
          </w:p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（六）鼓勵兒童肯定自己的優點，改進缺點。</w:t>
            </w:r>
          </w:p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（七）引導兒童培養閱讀故事的興趣和能力。</w:t>
            </w:r>
          </w:p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（八）能和同學分享閱讀課文的心得。</w:t>
            </w:r>
          </w:p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（九）能讀懂課文內容，了解課文大意。</w:t>
            </w:r>
          </w:p>
          <w:p w:rsidR="00750B63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kern w:val="0"/>
                <w:sz w:val="20"/>
                <w:szCs w:val="20"/>
              </w:rPr>
              <w:t>（十）藉由和家人、同學與老師的互動，擴展兒童的心靈視野，珍惜共同相處的快樂時光。</w:t>
            </w:r>
          </w:p>
        </w:tc>
      </w:tr>
      <w:tr w:rsidR="00750B63" w:rsidRPr="008B52B3" w:rsidTr="0083625F">
        <w:trPr>
          <w:trHeight w:val="111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001571" w:rsidRDefault="00750B6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融入重大議題之能力指標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750B63" w:rsidRPr="0083625F" w:rsidRDefault="00750B63" w:rsidP="0083625F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舉例說明自己所享有的權利，並知道人權是與生俱有的。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1-1-2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了解、遵守團體的規則，並實踐民主法治的精神。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1-1-3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1-1-4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說出自己對一個美好世界的想法。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2-1-1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了解兒童對遊戲權利的需求並促進身心健康與發展。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養成良好的個人習慣與態度。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1-1-2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認識自己的長處及優點。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2-1-1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培養互助合作的生活態度。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認識不同性別者身心的異同。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1-1-2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尊重不同性別者的特質。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2-1-3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表達自己的意見和感受，不受性別的限制。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察覺食物與健康的關係。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1-1-3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願意與他人分享自己所喜歡的食物。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3-1-1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了解自己所擁有的物品並願意與他人分享。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3-1-2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察覺自己的生活禮儀與習慣。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3-1-4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察覺周遭美化生活的物品。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3-1-5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認識日常生活的用具。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4-1-1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認識家庭的組成分子與稱謂。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4-1-2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察覺自己與家人的溝通方式。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1-1-1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能運用五官觀察體驗、探究環境中的事物。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2-1-1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認識生活周遭的自然環境與人造環境，以及常見的動物、植物、微生物彼此之間的互動關係。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3-1-1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能經由親近生物而懂得愛護與尊重生命，並了解生態保育的重要性。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lastRenderedPageBreak/>
              <w:t>4-1-1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  <w:r w:rsidRPr="0083625F">
              <w:rPr>
                <w:rFonts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br/>
              <w:t>4-1-2</w:t>
            </w:r>
            <w:r w:rsidRPr="0083625F"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0"/>
                <w:szCs w:val="20"/>
              </w:rPr>
              <w:t>能經由家長與師長指導，以文字、圖畫等方式記錄校園與住家環境問題。</w:t>
            </w:r>
          </w:p>
        </w:tc>
      </w:tr>
      <w:tr w:rsidR="00750B63" w:rsidRPr="008B52B3" w:rsidTr="0083625F">
        <w:trPr>
          <w:trHeight w:val="390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750B63" w:rsidRPr="00001571" w:rsidRDefault="00750B63" w:rsidP="0083625F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週</w:t>
            </w:r>
            <w:proofErr w:type="gramEnd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50B63" w:rsidRPr="00001571" w:rsidRDefault="00750B63" w:rsidP="0083625F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力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標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50B63" w:rsidRPr="00001571" w:rsidRDefault="00750B63" w:rsidP="0083625F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50B63" w:rsidRPr="00001571" w:rsidRDefault="00750B63" w:rsidP="0083625F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50B63" w:rsidRPr="00001571" w:rsidRDefault="00750B63" w:rsidP="0083625F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50B63" w:rsidRPr="00001571" w:rsidRDefault="00750B63" w:rsidP="0083625F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（融入）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2016/2/12~2016/2/13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2-1-1-8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能主動參與溝通，聆聽對方的說明。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能聽得準確。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能邊聆聽邊思考。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能用完整的語句回答問題。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第壹單元我愛大自然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第一課走進大自然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cs="新細明體"/>
                <w:color w:val="000000"/>
                <w:kern w:val="0"/>
              </w:rPr>
              <w:t>0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2016/2/14~2016/2/20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能運用注音符號，提升說話及閱讀能力。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2-1-1-8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能主動參與溝通，聆聽對方的說明。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能聽得準確。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能邊聆聽邊思考。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能用完整的語句回答問題。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能先想然後再說，有禮貌的應對。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6-1-2-2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能仿寫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簡單句型。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第壹單元我愛大自然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第一課走進大自然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第三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2016/2/21~2016/2/27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正確拼讀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1-1-5-2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能運用注音符號之輔助，記錄訊息。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能自然安靜的聆聽。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3-1-1-7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能依照文意，概略讀出文章的節奏。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3-1-1-8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能清楚說出自己的意思。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能養成良好的書寫習慣。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能激發寫字的興趣。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能讀懂課文內容，了解文章的大意。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能培養良好的閱讀興趣。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6-1-2-2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能仿寫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簡單句型。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第壹單元我愛大自然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第二課不開燈的夜晚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2016/2/28~2016/3/5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正確拼讀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能用完整的語句回答問題。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能充分感受表達的成就感。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能養成良好的書寫姿勢，並養成保持整潔的書寫習慣。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能運用學過的字詞，造出通順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的短語或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句子。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6-1-2-2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能仿寫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簡單句型。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第壹單元我愛大自然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第三課飛魚季</w:t>
            </w:r>
          </w:p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FF"/>
                <w:kern w:val="0"/>
              </w:rPr>
              <w:t>BA:</w:t>
            </w:r>
            <w:r w:rsidRPr="008B52B3">
              <w:rPr>
                <w:rFonts w:ascii="新細明體" w:hAnsi="新細明體" w:cs="新細明體" w:hint="eastAsia"/>
                <w:color w:val="0000FF"/>
                <w:kern w:val="0"/>
              </w:rPr>
              <w:t>飲食教育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4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第五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2016/3/6~2016/3/12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正確拼讀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3-1-1-7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能依照文意，概略讀出文章的節奏。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能充分感受表達的成就感。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能養成良好的書寫姿勢，並養成保持整潔的書寫習慣。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第壹單元我愛大自然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課紫斑蝶回</w:t>
            </w:r>
            <w:proofErr w:type="gramEnd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故鄉</w:t>
            </w:r>
          </w:p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FF"/>
                <w:kern w:val="0"/>
              </w:rPr>
              <w:t>AI:</w:t>
            </w:r>
            <w:r w:rsidRPr="008B52B3">
              <w:rPr>
                <w:rFonts w:ascii="新細明體" w:hAnsi="新細明體" w:cs="新細明體" w:hint="eastAsia"/>
                <w:color w:val="0000FF"/>
                <w:kern w:val="0"/>
              </w:rPr>
              <w:t>環境教育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4-1-2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第六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2016/3/13~2016/3/19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能運用注音符號輔助識字，擴充閱讀。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1-1-5-3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能就所讀的注音讀物，說出自己發現的問題和想法。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能確實把握聆聽的方法。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能概略聽出朗讀時優美的節奏。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能用完整的語句回答問題。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3-1-1-9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能清楚複述所聽到的事物。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3-1-3-2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能生動的看圖說故事。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會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利用音序及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部首等方法查字辭典，並養成查字辭典的習慣。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認識並學會使用字典、</w:t>
            </w:r>
            <w:r w:rsidRPr="008B52B3">
              <w:rPr>
                <w:snapToGrid w:val="0"/>
                <w:kern w:val="0"/>
                <w:sz w:val="20"/>
                <w:szCs w:val="20"/>
              </w:rPr>
              <w:t>(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兒童</w:t>
            </w:r>
            <w:r w:rsidRPr="008B52B3">
              <w:rPr>
                <w:snapToGrid w:val="0"/>
                <w:kern w:val="0"/>
                <w:sz w:val="20"/>
                <w:szCs w:val="20"/>
              </w:rPr>
              <w:t>)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百科全書等工具書，以輔助閱讀。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能在口述作文和筆述作文中，培養豐富的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lastRenderedPageBreak/>
              <w:t>想像力。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第壹單元我愛大自然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統整活動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一</w:t>
            </w:r>
            <w:proofErr w:type="gramEnd"/>
          </w:p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FF"/>
                <w:kern w:val="0"/>
              </w:rPr>
              <w:t>AQ:</w:t>
            </w:r>
            <w:r w:rsidRPr="008B52B3">
              <w:rPr>
                <w:rFonts w:ascii="新細明體" w:hAnsi="新細明體" w:cs="新細明體" w:hint="eastAsia"/>
                <w:color w:val="0000FF"/>
                <w:kern w:val="0"/>
              </w:rPr>
              <w:t>校外教學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第七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2016/3/20~2016/3/26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能運用注音符號，提升說話及閱讀能力。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能培養良好的聆聽態度。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能邊聆聽邊思考。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說話語音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清晰，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語法正確，速度適當。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能表達自己的意思，與人自然對話。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能養成良好的書寫姿勢，並養成保持整潔的書寫習慣。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能讀懂課文內容，了解文章的大意。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能經由觀摩、分享與欣賞，培養良好的寫作態度與興趣。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第貳單元好鄰居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第五課啄木鳥醫生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1-1-2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3-1-4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第八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2016/3/27~2016/4/2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能正確認念、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拼讀及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書寫注音符號。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能運用注音符號表情達意，分享經驗。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能欣賞並朗讀標注注音符號的優美語文讀物。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能培養良好的聆聽態度。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3-1-1-7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能依照文意，概略讀出文章的節奏。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說話語音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清晰，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語法正確，速度適當。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能養成良好的書寫姿勢，並養成保持整潔的書寫習慣。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第貳單元好鄰居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第六課邀請</w:t>
            </w:r>
          </w:p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339966"/>
                <w:kern w:val="0"/>
              </w:rPr>
              <w:t>AG:</w:t>
            </w:r>
            <w:r w:rsidRPr="008B52B3">
              <w:rPr>
                <w:rFonts w:ascii="新細明體" w:hAnsi="新細明體" w:cs="新細明體" w:hint="eastAsia"/>
                <w:color w:val="339966"/>
                <w:kern w:val="0"/>
              </w:rPr>
              <w:t>性侵害防治教育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1-1-2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第九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2016/4/3~2016/4/9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能運用注音符號，提升說話及閱讀能力。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能聽得準確。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能邊聆聽邊思考。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lastRenderedPageBreak/>
              <w:t>3-1-2-2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能先想然後再說，有禮貌的應對。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4-1-4-2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能正確認識楷書基本筆畫的書寫原則。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能運用學過的字詞，造出通順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的短語或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句子。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6-1-2-2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能仿寫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簡單句型。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第貳單元好鄰居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第七課拼貼</w:t>
            </w:r>
            <w:proofErr w:type="gramEnd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畫</w:t>
            </w:r>
          </w:p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FF0000"/>
                <w:kern w:val="0"/>
              </w:rPr>
              <w:t>AC:</w:t>
            </w:r>
            <w:r w:rsidRPr="008B52B3">
              <w:rPr>
                <w:rFonts w:ascii="新細明體" w:hAnsi="新細明體" w:cs="新細明體" w:hint="eastAsia"/>
                <w:color w:val="FF0000"/>
                <w:kern w:val="0"/>
              </w:rPr>
              <w:t>家政教育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3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3-1-5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lastRenderedPageBreak/>
              <w:t>4-1-1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4-1-2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2016/4/10~2016/4/16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2-1-1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能培養良好的聆聽態度。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能清楚明白的口述一件事情。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3-1-1-7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能依照文意，概略讀出文章的節奏。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能生動活潑敘述故事。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3-1-4-3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能依主題表達意見。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能讀懂課文內容，了解文章的大意。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能培養良好的閱讀興趣、態度和習慣。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能經由觀摩、分享與欣賞，培養良好的寫作態度與興趣。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能認識並練習使用常用的標點符號。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第貳單元好鄰居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閱讀樂園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一</w:t>
            </w:r>
            <w:proofErr w:type="gramEnd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：巷口的伯伯</w:t>
            </w:r>
          </w:p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993366"/>
                <w:kern w:val="0"/>
              </w:rPr>
              <w:t>AK:</w:t>
            </w:r>
            <w:r w:rsidRPr="008B52B3">
              <w:rPr>
                <w:rFonts w:ascii="新細明體" w:hAnsi="新細明體" w:cs="新細明體" w:hint="eastAsia"/>
                <w:color w:val="993366"/>
                <w:kern w:val="0"/>
              </w:rPr>
              <w:t>全民國防教育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1-1-2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1-1-3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2016/4/17~2016/4/23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能運用注音符號，擴充語文學習的空間，增進語文學習的興趣。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能自然安靜的聆聽。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喜歡聆聽別人發表。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能清楚明白的口述一件事情。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能用完整的語句回答問題。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能有禮貌的表達意見。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能從閱讀的材料中，培養分析歸納的能力。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能學習觀察簡單的圖畫和事物，並練習寫成一段文字。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6-1-3-2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能配合日常生活，練習寫簡單的應用文</w:t>
            </w:r>
            <w:r w:rsidRPr="008B52B3">
              <w:rPr>
                <w:snapToGrid w:val="0"/>
                <w:kern w:val="0"/>
                <w:sz w:val="20"/>
                <w:szCs w:val="20"/>
              </w:rPr>
              <w:t>(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如：賀卡、便條、書信及日記等</w:t>
            </w:r>
            <w:r w:rsidRPr="008B52B3">
              <w:rPr>
                <w:snapToGrid w:val="0"/>
                <w:kern w:val="0"/>
                <w:sz w:val="20"/>
                <w:szCs w:val="20"/>
              </w:rPr>
              <w:t>)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第貳單元好鄰居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統整活動二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1-1-2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第十二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2016/4/24~2016/4/30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能運用注音符號，提升說話及閱讀能力。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能聽得準確。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能邊聆聽邊思考。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3-1-1-7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能依照文意，概略讀出文章的節奏。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能充分感受表達的成就感。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lastRenderedPageBreak/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4-1-4-2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能正確認識楷書基本筆畫的書寫原則。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第參單元生活點滴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第八課想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2-1-3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4-1-2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第十三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2016/5/1~2016/5/7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能邊聆聽邊思考。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3-1-1-7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能依照文意，概略讀出文章的節奏。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能充分感受表達的成就感。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能先想然後再說，有禮貌的應對。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4-1-4-2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能正確認識楷書基本筆畫的書寫原則。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6-1-2-2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能仿寫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簡單句型。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第參單元生活點滴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第九課上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臺</w:t>
            </w:r>
            <w:proofErr w:type="gramEnd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說故事</w:t>
            </w:r>
          </w:p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FF0000"/>
                <w:kern w:val="0"/>
              </w:rPr>
            </w:pPr>
            <w:r w:rsidRPr="008B52B3">
              <w:rPr>
                <w:rFonts w:ascii="新細明體" w:hAnsi="新細明體" w:cs="新細明體"/>
                <w:color w:val="FF0000"/>
                <w:kern w:val="0"/>
              </w:rPr>
              <w:t>AO:</w:t>
            </w:r>
            <w:r w:rsidRPr="008B52B3">
              <w:rPr>
                <w:rFonts w:ascii="新細明體" w:hAnsi="新細明體" w:cs="新細明體" w:hint="eastAsia"/>
                <w:color w:val="FF0000"/>
                <w:kern w:val="0"/>
              </w:rPr>
              <w:t>圖書館推廣閱讀活動計畫</w:t>
            </w:r>
          </w:p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FF0000"/>
                <w:kern w:val="0"/>
              </w:rPr>
              <w:t>AU:</w:t>
            </w:r>
            <w:r w:rsidRPr="008B52B3">
              <w:rPr>
                <w:rFonts w:ascii="新細明體" w:hAnsi="新細明體" w:cs="新細明體" w:hint="eastAsia"/>
                <w:color w:val="FF0000"/>
                <w:kern w:val="0"/>
              </w:rPr>
              <w:t>書法教育</w:t>
            </w:r>
            <w:r w:rsidRPr="008B52B3">
              <w:rPr>
                <w:rFonts w:ascii="新細明體" w:hAnsi="新細明體" w:cs="新細明體"/>
                <w:color w:val="FF0000"/>
                <w:kern w:val="0"/>
              </w:rPr>
              <w:t>_</w:t>
            </w:r>
            <w:proofErr w:type="gramStart"/>
            <w:r w:rsidRPr="008B52B3">
              <w:rPr>
                <w:rFonts w:ascii="新細明體" w:hAnsi="新細明體" w:cs="新細明體" w:hint="eastAsia"/>
                <w:color w:val="FF0000"/>
                <w:kern w:val="0"/>
              </w:rPr>
              <w:t>硬筆字</w:t>
            </w:r>
            <w:proofErr w:type="gramEnd"/>
            <w:r w:rsidRPr="008B52B3">
              <w:rPr>
                <w:rFonts w:ascii="新細明體" w:hAnsi="新細明體" w:cs="新細明體" w:hint="eastAsia"/>
                <w:color w:val="FF0000"/>
                <w:kern w:val="0"/>
              </w:rPr>
              <w:t>教學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4-1-1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4-1-1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2016/5/8~2016/5/14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能聽得準確。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能充分感受表達的成就感。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能利用生字造詞。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能養成良好的書寫姿勢，並養成保持整潔的書寫習慣。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6-1-2-2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能仿寫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簡單句型。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第參單元生活點滴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第十課日記一則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4-1-1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4-1-2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第十五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2016/5/15~2016/5/21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正確拼讀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能運用注音符號，記錄訊息，表達意見。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能在聆聽時禮貌的看著說話者。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能聽出別人所表達的意思，達成溝通的目的。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能清楚明白的口述一件事情。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3-1-4-2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使用電話與人交談時，能掌握說話主題。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能養成良好的書寫姿勢，並養成保持整潔的書寫習慣。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lastRenderedPageBreak/>
              <w:t>4-1-4-5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能認識楷書基本筆畫的變化。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6-1-2-2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能仿寫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簡單句型。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第參單元生活點滴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第十一課陪外公</w:t>
            </w:r>
            <w:proofErr w:type="gramEnd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運動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1-1-3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1-1-4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1-1-2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3-1-2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第十六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2016/5/22~2016/5/28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能正確認念、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拼讀及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書寫注音符號。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能正確書寫注音符號。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能養成仔細聆聽的習慣。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能聽出說話者的表達技巧。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能清楚明白的口述一件事情。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3-1-1-5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能用完整的語句回答問題。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3-1-1-10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能主動使用正確語詞說話。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發言不偏離主題。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5-1-3-1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能培養良好的閱讀興趣。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能認識並練習使用常用的標點符號。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第參單元生活點滴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統整活動三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2-1-3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4-1-2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第十七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2016/5/29~2016/6/4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能運用注音符號，提升說話及閱讀能力。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能聽得準確。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能邊聆聽邊思考。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3-1-1-7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能依照文意，概略讀出文章的節奏。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能先想然後再說，有禮貌的應對。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發言不偏離主題。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會使用字辭典，並養成查字辭典的習慣。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能運用學過的字詞，造出通順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的短語或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句子。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第肆單元語文萬花筒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第十二課</w:t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雨天猜謎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DF5E35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</w:rPr>
              <w:t>6</w:t>
            </w:r>
            <w:r w:rsidR="00750B63">
              <w:rPr>
                <w:rFonts w:ascii="新細明體" w:cs="新細明體"/>
                <w:color w:val="000000"/>
                <w:kern w:val="0"/>
              </w:rPr>
              <w:t>+1</w:t>
            </w:r>
            <w:r w:rsidR="00750B63"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第十八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2016/6/5~2016/6/11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能正確認念、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拼讀及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書寫注音符號。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能運用注音符號，提升說話及閱讀能力。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能培養良好的聆聽態度。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能邊聆聽邊思考。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3-1-1-7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能依照文意，概略讀出文章的節奏。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發言不偏離主題。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會使用字辭典，並養成查字辭典的習慣。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能分辨基本的文體。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lastRenderedPageBreak/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6-1-2-2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能仿寫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簡單句型。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第肆單元語文萬花筒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第十三課一點就通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DF5E35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</w:rPr>
              <w:t>3</w:t>
            </w:r>
            <w:bookmarkStart w:id="0" w:name="_GoBack"/>
            <w:bookmarkEnd w:id="0"/>
            <w:r w:rsidR="00750B63">
              <w:rPr>
                <w:rFonts w:ascii="新細明體" w:cs="新細明體"/>
                <w:color w:val="000000"/>
                <w:kern w:val="0"/>
              </w:rPr>
              <w:t>+1</w:t>
            </w:r>
            <w:r w:rsidR="00750B63"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3-1-5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第十九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2016/6/12~2016/6/18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能正確認念、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拼讀及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書寫注音符號。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能運用注音符號，提升說話及閱讀能力。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1-1-4-1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能運用注音符號輔助認識文字。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能聽得準確。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3-1-2-2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能先想然後再說，有禮貌的應對。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發言不偏離主題。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能養成良好的書寫習慣。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4-1-4-1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能掌握基本筆畫的名稱、字形和筆順。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能熟習常用生字語詞的形音義。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能分辨基本的文體。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能流暢朗讀出文章表達的情感。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能經由作品欣賞、朗讀、美讀等方式，培養寫作的興趣。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第肆單元語文萬花筒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課詠鵝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第二十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2016/6/19~2016/6/25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2-1-1-3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能養成仔細聆聽的習慣。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2-1-2-4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能有條理的掌握聆聽到的內容。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能清楚明白的口述一件事情。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3-1-1-9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能清楚複述所聽到的事物。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3-1-4-3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能依主題表達意見。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能讀懂課文內容，了解文章的大意。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能理解在閱讀過程中所觀察到的訊息。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5-1-7-3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能從閱讀的材料中，培養分析歸納的能力。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能學習觀察簡單的圖畫和事物，並練習寫成一段文字。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能認識並練習使用常用的標點符號。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第肆單元語文萬花筒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閱讀樂園二：愛蓋章的國王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>+1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1-1-2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3-1-1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750B63" w:rsidRPr="008B52B3" w:rsidTr="0083625F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第二十一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2016/6/26~2016/7/2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snapToGrid w:val="0"/>
                <w:kern w:val="0"/>
                <w:sz w:val="20"/>
                <w:szCs w:val="20"/>
              </w:rPr>
            </w:pPr>
            <w:r w:rsidRPr="008B52B3">
              <w:rPr>
                <w:snapToGrid w:val="0"/>
                <w:kern w:val="0"/>
                <w:sz w:val="20"/>
                <w:szCs w:val="20"/>
              </w:rPr>
              <w:t>1-1-1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能正確認念、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拼讀及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書寫注音符號。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能確實把握聆聽的方法。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2-1-2-6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能結合科技與資訊，提升聆聽的能力，以提高學習興趣。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3-1-2-1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能愉快的與人溝通。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4-1-2-1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會</w:t>
            </w:r>
            <w:proofErr w:type="gramStart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利用音序及</w:t>
            </w:r>
            <w:proofErr w:type="gramEnd"/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部首等方法查字辭典，並養成查字辭典的習慣。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5-1-2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能讀懂課文內容，了解文章的大意。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5-1-6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認識並學會使用字典、</w:t>
            </w:r>
            <w:r w:rsidRPr="008B52B3">
              <w:rPr>
                <w:snapToGrid w:val="0"/>
                <w:kern w:val="0"/>
                <w:sz w:val="20"/>
                <w:szCs w:val="20"/>
              </w:rPr>
              <w:t>(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兒童</w:t>
            </w:r>
            <w:r w:rsidRPr="008B52B3">
              <w:rPr>
                <w:snapToGrid w:val="0"/>
                <w:kern w:val="0"/>
                <w:sz w:val="20"/>
                <w:szCs w:val="20"/>
              </w:rPr>
              <w:t>)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百科全書等工具書，以輔助閱讀。</w:t>
            </w:r>
            <w:r w:rsidRPr="008B52B3">
              <w:rPr>
                <w:rFonts w:cs="Times New Roman"/>
                <w:snapToGrid w:val="0"/>
                <w:kern w:val="0"/>
                <w:sz w:val="20"/>
                <w:szCs w:val="20"/>
              </w:rPr>
              <w:br/>
            </w:r>
            <w:r w:rsidRPr="008B52B3">
              <w:rPr>
                <w:snapToGrid w:val="0"/>
                <w:kern w:val="0"/>
                <w:sz w:val="20"/>
                <w:szCs w:val="20"/>
              </w:rPr>
              <w:t>6-1-1</w:t>
            </w:r>
            <w:r w:rsidRPr="008B52B3">
              <w:rPr>
                <w:rFonts w:cs="新細明體" w:hint="eastAsia"/>
                <w:snapToGrid w:val="0"/>
                <w:kern w:val="0"/>
                <w:sz w:val="20"/>
                <w:szCs w:val="20"/>
              </w:rPr>
              <w:t>能經由觀摩、分享與欣賞，培養良好的寫作態度與興趣。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63" w:rsidRPr="008B52B3" w:rsidRDefault="00750B63" w:rsidP="00832D3C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第肆單元語文萬花筒</w:t>
            </w:r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統整活動四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3" w:rsidRPr="008B52B3" w:rsidRDefault="00750B63" w:rsidP="00832D3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/>
                <w:color w:val="000000"/>
                <w:kern w:val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筆試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 w:rsidRPr="008B52B3">
              <w:rPr>
                <w:rFonts w:cs="Times New Roman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50B63" w:rsidRPr="008B52B3" w:rsidRDefault="00750B63" w:rsidP="00832D3C">
            <w:pPr>
              <w:spacing w:line="24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2-1-1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8B52B3">
              <w:rPr>
                <w:rFonts w:cs="新細明體" w:hint="eastAsia"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 w:rsidRPr="008B52B3">
              <w:rPr>
                <w:snapToGrid w:val="0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750B63" w:rsidRPr="008B52B3" w:rsidTr="0083625F">
        <w:trPr>
          <w:trHeight w:val="34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  <w:r w:rsidRPr="00001571">
              <w:rPr>
                <w:rFonts w:ascii="Arial Unicode MS" w:eastAsia="Arial Unicode MS" w:hAnsi="Arial Unicode MS" w:cs="Arial Unicode MS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  <w:r w:rsidRPr="00001571">
              <w:rPr>
                <w:rFonts w:ascii="Arial Unicode MS" w:eastAsia="Arial Unicode MS" w:hAnsi="Arial Unicode MS" w:cs="Arial Unicode MS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  <w:r w:rsidRPr="00001571">
              <w:rPr>
                <w:rFonts w:ascii="Arial Unicode MS" w:eastAsia="Arial Unicode MS" w:hAnsi="Arial Unicode MS" w:cs="Arial Unicode MS" w:hint="eastAsia"/>
                <w:color w:val="000000"/>
                <w:kern w:val="0"/>
              </w:rPr>
              <w:t xml:space="preserve">　</w:t>
            </w:r>
          </w:p>
        </w:tc>
      </w:tr>
      <w:tr w:rsidR="00750B63" w:rsidRPr="008B52B3">
        <w:trPr>
          <w:trHeight w:val="345"/>
        </w:trPr>
        <w:tc>
          <w:tcPr>
            <w:tcW w:w="770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上課總節數</w:t>
            </w:r>
            <w:proofErr w:type="gramEnd"/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3" w:rsidRPr="00001571" w:rsidRDefault="00750B6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96</w:t>
            </w:r>
            <w:r>
              <w:rPr>
                <w:rFonts w:ascii="新細明體" w:cs="新細明體"/>
                <w:color w:val="000000"/>
                <w:kern w:val="0"/>
              </w:rPr>
              <w:t>+20</w:t>
            </w:r>
            <w:r>
              <w:rPr>
                <w:rFonts w:ascii="新細明體" w:cs="新細明體" w:hint="eastAsia"/>
                <w:color w:val="000000"/>
                <w:kern w:val="0"/>
              </w:rPr>
              <w:t>彈性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</w:tr>
      <w:tr w:rsidR="00750B63" w:rsidRPr="008B52B3" w:rsidTr="0083625F">
        <w:trPr>
          <w:trHeight w:val="330"/>
        </w:trPr>
        <w:tc>
          <w:tcPr>
            <w:tcW w:w="1082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50B63" w:rsidRPr="00001571" w:rsidRDefault="00750B6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備註：</w:t>
            </w:r>
          </w:p>
        </w:tc>
      </w:tr>
      <w:tr w:rsidR="00750B63" w:rsidRPr="008B52B3" w:rsidTr="0083625F">
        <w:trPr>
          <w:trHeight w:val="330"/>
        </w:trPr>
        <w:tc>
          <w:tcPr>
            <w:tcW w:w="1082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50B63" w:rsidRPr="00001571" w:rsidRDefault="00750B6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一、本學期上課總日數</w:t>
            </w:r>
            <w:r>
              <w:rPr>
                <w:rFonts w:ascii="標楷體" w:eastAsia="標楷體" w:hAnsi="標楷體" w:cs="標楷體"/>
                <w:kern w:val="0"/>
              </w:rPr>
              <w:t>96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天。</w:t>
            </w:r>
          </w:p>
        </w:tc>
      </w:tr>
      <w:tr w:rsidR="00750B63" w:rsidRPr="008B52B3" w:rsidTr="0083625F">
        <w:trPr>
          <w:trHeight w:val="660"/>
        </w:trPr>
        <w:tc>
          <w:tcPr>
            <w:tcW w:w="1082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B63" w:rsidRPr="00001571" w:rsidRDefault="00750B6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二、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 2/28(</w:t>
            </w: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和平紀念日補假一天、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105/4/4(</w:t>
            </w: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兒童節暨民族掃墓節放假一天、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105/4/5(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兒童節暨民族掃墓節補假一天、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105/6/9(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端午節放假一天，共</w:t>
            </w:r>
            <w:r w:rsidRPr="00001571">
              <w:rPr>
                <w:rFonts w:ascii="標楷體" w:eastAsia="標楷體" w:hAnsi="標楷體" w:cs="標楷體"/>
                <w:kern w:val="0"/>
              </w:rPr>
              <w:t>4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天放假。</w:t>
            </w:r>
          </w:p>
        </w:tc>
      </w:tr>
    </w:tbl>
    <w:p w:rsidR="00750B63" w:rsidRPr="00001571" w:rsidRDefault="00750B63">
      <w:pPr>
        <w:rPr>
          <w:rFonts w:cs="Times New Roman"/>
        </w:rPr>
      </w:pPr>
    </w:p>
    <w:sectPr w:rsidR="00750B63" w:rsidRPr="00001571" w:rsidSect="003F6569">
      <w:pgSz w:w="11906" w:h="16838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01" w:rsidRDefault="00065701" w:rsidP="00DF5E35">
      <w:r>
        <w:separator/>
      </w:r>
    </w:p>
  </w:endnote>
  <w:endnote w:type="continuationSeparator" w:id="0">
    <w:p w:rsidR="00065701" w:rsidRDefault="00065701" w:rsidP="00D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01" w:rsidRDefault="00065701" w:rsidP="00DF5E35">
      <w:r>
        <w:separator/>
      </w:r>
    </w:p>
  </w:footnote>
  <w:footnote w:type="continuationSeparator" w:id="0">
    <w:p w:rsidR="00065701" w:rsidRDefault="00065701" w:rsidP="00DF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71"/>
    <w:rsid w:val="00001571"/>
    <w:rsid w:val="000403BA"/>
    <w:rsid w:val="00056DEE"/>
    <w:rsid w:val="00065701"/>
    <w:rsid w:val="000D7645"/>
    <w:rsid w:val="00114D90"/>
    <w:rsid w:val="001F1042"/>
    <w:rsid w:val="00272AFA"/>
    <w:rsid w:val="003F515C"/>
    <w:rsid w:val="003F6569"/>
    <w:rsid w:val="00515398"/>
    <w:rsid w:val="00587302"/>
    <w:rsid w:val="00592F24"/>
    <w:rsid w:val="00630CFE"/>
    <w:rsid w:val="00750B63"/>
    <w:rsid w:val="00760EB6"/>
    <w:rsid w:val="00832D3C"/>
    <w:rsid w:val="0083625F"/>
    <w:rsid w:val="00871306"/>
    <w:rsid w:val="008B52B3"/>
    <w:rsid w:val="00941E86"/>
    <w:rsid w:val="00A53B75"/>
    <w:rsid w:val="00C92137"/>
    <w:rsid w:val="00D76418"/>
    <w:rsid w:val="00DF5E35"/>
    <w:rsid w:val="00E851E7"/>
    <w:rsid w:val="00F60F37"/>
    <w:rsid w:val="00F6354B"/>
    <w:rsid w:val="00FE0AD4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4B"/>
    <w:pPr>
      <w:widowControl w:val="0"/>
    </w:pPr>
    <w:rPr>
      <w:rFonts w:cs="Calibri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01571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link w:val="6"/>
    <w:uiPriority w:val="99"/>
    <w:locked/>
    <w:rsid w:val="00001571"/>
    <w:rPr>
      <w:rFonts w:ascii="Arial" w:eastAsia="新細明體" w:hAnsi="Arial" w:cs="Arial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F5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F5E35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F5E35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1341</Words>
  <Characters>7650</Characters>
  <Application>Microsoft Office Word</Application>
  <DocSecurity>0</DocSecurity>
  <Lines>63</Lines>
  <Paragraphs>17</Paragraphs>
  <ScaleCrop>false</ScaleCrop>
  <Company>chihps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office-pc2</cp:lastModifiedBy>
  <cp:revision>9</cp:revision>
  <dcterms:created xsi:type="dcterms:W3CDTF">2015-06-22T07:59:00Z</dcterms:created>
  <dcterms:modified xsi:type="dcterms:W3CDTF">2015-07-01T06:19:00Z</dcterms:modified>
</cp:coreProperties>
</file>